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81" w:rsidRDefault="00712181">
      <w:pPr>
        <w:pStyle w:val="ConsPlusNormal"/>
        <w:jc w:val="right"/>
        <w:outlineLvl w:val="0"/>
      </w:pPr>
      <w:r>
        <w:t>Утверждено</w:t>
      </w:r>
    </w:p>
    <w:p w:rsidR="00712181" w:rsidRDefault="00712181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712181" w:rsidRDefault="00712181">
      <w:pPr>
        <w:pStyle w:val="ConsPlusNormal"/>
        <w:jc w:val="right"/>
      </w:pPr>
      <w:r>
        <w:t>Губернатора Мурманской области</w:t>
      </w:r>
    </w:p>
    <w:p w:rsidR="00712181" w:rsidRDefault="00712181">
      <w:pPr>
        <w:pStyle w:val="ConsPlusNormal"/>
        <w:jc w:val="right"/>
      </w:pPr>
      <w:proofErr w:type="gramStart"/>
      <w:r>
        <w:t>от</w:t>
      </w:r>
      <w:proofErr w:type="gramEnd"/>
      <w:r>
        <w:t xml:space="preserve"> 30 декабря 2010 г. N 166-ПЗ</w:t>
      </w: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Title"/>
        <w:jc w:val="center"/>
      </w:pPr>
      <w:bookmarkStart w:id="0" w:name="P38"/>
      <w:bookmarkEnd w:id="0"/>
      <w:r>
        <w:t>ПОЛОЖЕНИЕ</w:t>
      </w:r>
    </w:p>
    <w:p w:rsidR="00712181" w:rsidRDefault="00712181">
      <w:pPr>
        <w:pStyle w:val="ConsPlusTitle"/>
        <w:jc w:val="center"/>
      </w:pPr>
      <w:r>
        <w:t>О КООРДИНАЦИОННОМ СОВЕЩАНИИ ПО ОБЕСПЕЧЕНИЮ ПРАВОПОРЯДКА</w:t>
      </w:r>
    </w:p>
    <w:p w:rsidR="00712181" w:rsidRDefault="00712181">
      <w:pPr>
        <w:pStyle w:val="ConsPlusTitle"/>
        <w:jc w:val="center"/>
      </w:pPr>
      <w:r>
        <w:t>НА ТЕРРИТОРИИ МУРМАНСКОЙ ОБЛАСТИ</w:t>
      </w:r>
    </w:p>
    <w:p w:rsidR="00712181" w:rsidRDefault="007121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1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181" w:rsidRDefault="007121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181" w:rsidRDefault="007121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181" w:rsidRDefault="00712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181" w:rsidRDefault="0071218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Мурманской области</w:t>
            </w:r>
          </w:p>
          <w:p w:rsidR="00712181" w:rsidRDefault="007121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27.11.2017 </w:t>
            </w:r>
            <w:hyperlink r:id="rId4">
              <w:r>
                <w:rPr>
                  <w:color w:val="0000FF"/>
                </w:rPr>
                <w:t>N 139-ПГ</w:t>
              </w:r>
            </w:hyperlink>
            <w:r>
              <w:rPr>
                <w:color w:val="392C69"/>
              </w:rPr>
              <w:t xml:space="preserve">, от 05.10.2022 </w:t>
            </w:r>
            <w:hyperlink r:id="rId5">
              <w:r>
                <w:rPr>
                  <w:color w:val="0000FF"/>
                </w:rPr>
                <w:t>N 129-ПГ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181" w:rsidRDefault="00712181">
            <w:pPr>
              <w:pStyle w:val="ConsPlusNormal"/>
            </w:pPr>
          </w:p>
        </w:tc>
      </w:tr>
    </w:tbl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ind w:firstLine="540"/>
        <w:jc w:val="both"/>
      </w:pPr>
      <w:r>
        <w:t xml:space="preserve">1. Координационное совещание по обеспечению правопорядка на территории Мурманской области (далее - Координационное совещание) создано во исполнение </w:t>
      </w:r>
      <w:hyperlink r:id="rId6">
        <w:r>
          <w:rPr>
            <w:color w:val="0000FF"/>
          </w:rPr>
          <w:t>Указа</w:t>
        </w:r>
      </w:hyperlink>
      <w:r>
        <w:t xml:space="preserve"> Президента Российской Федерации от 11.12.2010 N 1535 "О дополнительных мерах по обеспечению правопорядка".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2. Координационное совещание является постоянно действующим совещательным органом, созданным для решения вопросов в области обеспечения законности, защиты прав и свобод человека и гражданина, охраны собственности, общественного порядка и общественной безопасности на территории Мурманской области.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3. Основными задачами Координационного совещания являются: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обобщение и анализ информации о состоянии правопорядка на территории Мурманской области, а также прогнозирование тенденций развития ситуации в этой области;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анализ эффективности деятельности органов внутренних дел и территориальных органов иных федеральных органов исполнительной власти, исполнительных органов и органов местного самоуправления Мурманской области по обеспечению правопорядка на территории Мурманской области;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разработка мер, направленных на обеспечение правопорядка на территории Мурманской области;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организация взаимодействия территориальных органов федеральных органов исполнительной власти, исполнительных органов и органов местного самоуправления, а также указанных органов с институтами гражданского общества и социально ориентированными некоммерческими организациями по вопросам обеспечения правопорядка.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4. Деятельность Координационного совещания осуществляется на основе: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соблюдения законности;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равенства членов Координационного совещания при постановке вопросов, внесении предложений, разработке рекомендаций и мероприятий;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самостоятельности каждого исполнительного органа и органа местного самоуправления в пределах предоставленных им законодательством Российской Федерации полномочий при выполнении согласованных решений, рекомендаций и проведении мероприятий;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гласности в той мере, в какой она не противоречит требованиям законодательства Российской Федерации о защите прав и свобод человека и гражданина, о государственной и иной охраняемой законом тайне;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ответственности должностных лиц исполнительных органов и органов местного самоуправления за выполнение согласованных решений.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 xml:space="preserve">5. В состав Координационного совещания входят председатель, заместитель председателя, </w:t>
      </w:r>
      <w:r>
        <w:lastRenderedPageBreak/>
        <w:t>секретариат и члены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Членами Координационного совещания являются руководители территориальных органов федеральных государственных органов, а также руководители исполнительных органов Мурманской области.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895902">
      <w:pPr>
        <w:pStyle w:val="ConsPlusNormal"/>
        <w:spacing w:before="200"/>
        <w:ind w:firstLine="540"/>
        <w:jc w:val="both"/>
      </w:pPr>
      <w:hyperlink w:anchor="P132">
        <w:r w:rsidR="00712181">
          <w:rPr>
            <w:color w:val="0000FF"/>
          </w:rPr>
          <w:t>Состав</w:t>
        </w:r>
      </w:hyperlink>
      <w:r w:rsidR="00712181">
        <w:t xml:space="preserve"> Координационного совещания утверждает Губернатор Мурманской области.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6. Председателем Координационного совещания является Губернатор Мурманской области.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7. Деятельность Координационного совещания осуществляется в форме заседаний.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8. Заседания Координационного совещания проводятся по мере необходимости, но не реже 1 раза в квартал, на основании комплексного плана действий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Комплексный план действий составляется на основании предложений членов Координационного совещания и утверждается на заседании.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По решению председателя координационного совещания могут проводиться внеплановые заседания, а также заседания в заочной форме путем принятия решения письменным голосованием его членов.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9. Председатель Координационного совещания: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созывает Координационное совещание, определяет повестку дня Координационного совещания, руководит его работой;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принимает решение о проведении внеочередного заседания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истребует информацию, необходимую для рассмотрения на Координационном совещании;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заслушивает членов Координационного совещания по вопросам принятия мер по обеспечению правопорядка;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рассматривает предложения членов Координационного совещания по повышению эффективности совместной работы в области обеспечения правопорядка и борьбы с правонарушениями;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утверждает состав секретариата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10. В отсутствие председателя Координационного совещания его обязанности исполняет заместитель председателя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11. Члены Координационного совещания: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вносят предложения по вопросам, относящимся к координационной деятельности, с обоснованием необходимости их рассмотрения, путей и способов решения;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вносят в порядке, согласованном на Координационном совещании, документы и материалы, требующие обсуждения и принятия решений;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участвуют в обсуждении и выработке решений по вопросам, вынесенным на рассмотрение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вносят предложения о повестке дня очередного заседания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вносят предложения о проведении внеочередных заседаний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организуют в рамках своих полномочий выполнение решений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12. Для обеспечения деятельности Координационного совещания образуется секретариат Координационного совещания, состав которого по предложениям членов Координационного совещания утверждает председатель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lastRenderedPageBreak/>
        <w:t>13. Секретариат Координационного совещания: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проводит текущую организационную работу;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ведет документацию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извещает членов Координационного совещания и приглашенных на его заседание лиц о повестке дня с приложением проектов документов, подлежащих рассмотрению, и других материалов;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обеспечивает организацию проведения заседания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осуществляет подготовку проектов решений Координационного совещания, актов Губернатора и Правительства Мурманской области;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выполняет поручения председателя Координационного совещания;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осуществляет контроль за сроками представления материалов для рассмотрения на заседаниях Координационного совещания и их качеством;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вносит предложения председателю Координационного совещания об исключении вопросов из повестки дня заседания в случаях нарушения сроков или некачественной подготовки представленных материалов.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14. Координационное совещание в целях выполнения возложенных на него задач: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запрашивает у территориальных органов федеральных органов исполнительной власти, исполнительных органов, органов местного самоуправления Мурманской области и организаций информацию по вопросам состояния правопорядка;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осуществляет анализ и обобщение информации о состоянии правопорядка, а также прогнозирование возможных ситуаций в данной области правоотношений;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изучает деятельность правоохранительных органов;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разрабатывает предложения о совершенствовании правового регулирования деятельности по борьбе с правонарушениями;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разрабатывает предложения по вопросам обеспечения правопорядка, осуществления профилактических мероприятий и предотвращения негативных тенденций развития ситуации на территории региона;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заслушивает руководителей территориальных органов федеральных органов исполнительной власти, исполнительных органов, органов местного самоуправления и организаций;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вносит предложения о повышении эффективности деятельности органов внутренних дел, территориальных органов иных федеральных органов исполнительной власти, исполнительных органов и органов местного самоуправления по обеспечению правопорядка;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- принимает решения, направленные на поддержание надлежащего правопорядка на территории Мурманской области и улучшение взаимодействия на данном направлении деятельности между исполнительными органами, органами местного самоуправления и организациями.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15. В работе Координационного совещания принимает участие главный федеральный инспектор в Мурманской области.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16. На заседания Координационного совещания приглашаются руководители территориальных органов федеральных органов исполнительной власти, не входящие в его состав.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lastRenderedPageBreak/>
        <w:t>17. Подготовка материалов к заседанию Координационного совещания осуществляется органами, к ведению которых относятся вопросы повестки дня. Подготовленные материалы должны быть представлены в секретариат Координационного совещания не позднее чем за пятнадцать дней до заседания Координационного совещания и должны содержать предложения в проект решения с указанием ответственных исполнителей и срока исполнения поручения.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Предложения в проект решения подлежат обязательному согласованию с ведомствами (исполнителями), которым предписывается исполнить поручение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18. Заседание Координационного совещания правомочно, если на нем присутствует более половины от общего числа членов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19. Решения Координационного совещания принимаются простым большинством голосов членов Координационного совещания, присутствующих на его заседании, путем открытого голосования. В случае равенства голосов решающим является голос председателя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Особое мнение членов Координационного совещания, голосовавших против принятого решения, излагается в письменной форме и приобщается к решению Координационного совещания.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20. Члены Координационного совещания не вправе делегировать свои полномочия иным должностным лицам, за исключением лиц, временно исполняющих их обязанности.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21. Решения Координационного совещания оформляются актами Губернатора Мурманской области, а в необходимых случаях - актами Правительства Мурманской области.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22. Предложения Координационного совещания, касающиеся совершенствования нормативно-правового регулирования деятельности по обеспечению правопорядка, при необходимости представляются Губернатором Мурманской области Президенту Российской Федерации или полномочному представителю Президента Российской Федерации в Северо-Западном федеральном округе для принятия по ним решений.</w:t>
      </w:r>
    </w:p>
    <w:p w:rsidR="00712181" w:rsidRDefault="00712181">
      <w:pPr>
        <w:pStyle w:val="ConsPlusNormal"/>
        <w:spacing w:before="200"/>
        <w:ind w:firstLine="540"/>
        <w:jc w:val="both"/>
      </w:pPr>
      <w:r>
        <w:t>23. Организационное обеспечение деятельности Координационного совещания осуществляет Министерство региональной безопасности Мурманской области.</w:t>
      </w:r>
    </w:p>
    <w:p w:rsidR="00712181" w:rsidRDefault="00712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05.10.2022 N 129-ПГ)</w:t>
      </w: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</w:p>
    <w:p w:rsidR="00712181" w:rsidRDefault="00712181">
      <w:pPr>
        <w:pStyle w:val="ConsPlusNormal"/>
        <w:jc w:val="both"/>
      </w:pPr>
      <w:bookmarkStart w:id="1" w:name="_GoBack"/>
      <w:bookmarkEnd w:id="1"/>
    </w:p>
    <w:sectPr w:rsidR="00712181" w:rsidSect="0088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81"/>
    <w:rsid w:val="00241D88"/>
    <w:rsid w:val="003A23CF"/>
    <w:rsid w:val="00712181"/>
    <w:rsid w:val="008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AB12-9771-47EB-9905-7CDEDF1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18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2181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218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3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2" Type="http://schemas.openxmlformats.org/officeDocument/2006/relationships/hyperlink" Target="consultantplus://offline/ref=D3FE7DC9EE8D04A7FD48481261FEABEA2DC8BF6A9A9EA36A95DB623D7CF9085B3D04C521FB4E2F30497B9B6BEA7C21C19E37677F6C41628B57F2C97ByEPEH" TargetMode="External"/><Relationship Id="rId17" Type="http://schemas.openxmlformats.org/officeDocument/2006/relationships/hyperlink" Target="consultantplus://offline/ref=D3FE7DC9EE8D04A7FD48481261FEABEA2DC8BF6A9A9EA36A95DB623D7CF9085B3D04C521FB4E2F30497B9B6AE27C21C19E37677F6C41628B57F2C97ByEP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E7DC9EE8D04A7FD48561F7792F5EF2BC7E9659B96A03FCC86646A23A90E0E6F449B78B8033C304B65996BE0y7P5H" TargetMode="External"/><Relationship Id="rId11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5" Type="http://schemas.openxmlformats.org/officeDocument/2006/relationships/hyperlink" Target="consultantplus://offline/ref=D3FE7DC9EE8D04A7FD48481261FEABEA2DC8BF6A9A9EA36A95DB623D7CF9085B3D04C521FB4E2F30497B9B6BE47C21C19E37677F6C41628B57F2C97ByEPEH" TargetMode="External"/><Relationship Id="rId15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0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3FE7DC9EE8D04A7FD48481261FEABEA2DC8BF6A939FAF6198D93F3774A004593A0B9A36FC072331497B9B6EE92324D48F6F6A767B5E61974BF0CBy7PBH" TargetMode="External"/><Relationship Id="rId9" Type="http://schemas.openxmlformats.org/officeDocument/2006/relationships/hyperlink" Target="consultantplus://offline/ref=D3FE7DC9EE8D04A7FD48481261FEABEA2DC8BF6A9A9EA36A95DB623D7CF9085B3D04C521FB4E2F30497B9B6BE57C21C19E37677F6C41628B57F2C97ByEPEH" TargetMode="External"/><Relationship Id="rId14" Type="http://schemas.openxmlformats.org/officeDocument/2006/relationships/hyperlink" Target="consultantplus://offline/ref=D3FE7DC9EE8D04A7FD48481261FEABEA2DC8BF6A9A9EA36A95DB623D7CF9085B3D04C521FB4E2F30497B9B6BE57C21C19E37677F6C41628B57F2C97ByE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Р.Л.</dc:creator>
  <cp:keywords/>
  <dc:description/>
  <cp:lastModifiedBy>Леоненко Р.Л.</cp:lastModifiedBy>
  <cp:revision>3</cp:revision>
  <dcterms:created xsi:type="dcterms:W3CDTF">2022-12-09T07:18:00Z</dcterms:created>
  <dcterms:modified xsi:type="dcterms:W3CDTF">2022-12-09T07:21:00Z</dcterms:modified>
</cp:coreProperties>
</file>